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bookmarkStart w:id="0" w:name="_GoBack"/>
            <w:bookmarkEnd w:id="0"/>
          </w:p>
        </w:tc>
        <w:tc>
          <w:tcPr>
            <w:tcW w:w="2334" w:type="dxa"/>
            <w:tcBorders>
              <w:left w:val="single" w:sz="4" w:space="0" w:color="FFFFFF"/>
            </w:tcBorders>
            <w:shd w:val="clear" w:color="auto" w:fill="943634"/>
            <w:vAlign w:val="bottom"/>
          </w:tcPr>
          <w:p w:rsidR="004572DA" w:rsidRDefault="00123AED" w:rsidP="00C70CC3">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0F5777" w:rsidP="00544414">
            <w:pPr>
              <w:pStyle w:val="NoSpacing"/>
              <w:rPr>
                <w:b/>
                <w:bCs/>
                <w:caps/>
                <w:color w:val="17365D"/>
                <w:sz w:val="72"/>
                <w:szCs w:val="72"/>
              </w:rPr>
            </w:pPr>
            <w:r>
              <w:rPr>
                <w:rFonts w:ascii="Cambria" w:hAnsi="Cambria"/>
                <w:b/>
                <w:bCs/>
                <w:color w:val="17365D"/>
                <w:sz w:val="32"/>
                <w:szCs w:val="32"/>
              </w:rPr>
              <w:t>Kings (Br</w:t>
            </w:r>
            <w:r w:rsidR="00544414">
              <w:rPr>
                <w:rFonts w:ascii="Cambria" w:hAnsi="Cambria"/>
                <w:b/>
                <w:bCs/>
                <w:color w:val="17365D"/>
                <w:sz w:val="32"/>
                <w:szCs w:val="32"/>
              </w:rPr>
              <w:t>ooklyn</w:t>
            </w:r>
            <w:r>
              <w:rPr>
                <w:rFonts w:ascii="Cambria" w:hAnsi="Cambria"/>
                <w:b/>
                <w:bCs/>
                <w:color w:val="17365D"/>
                <w:sz w:val="32"/>
                <w:szCs w:val="32"/>
              </w:rPr>
              <w:t>) and New York (Manhattan) Counties in New York</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6635F3" w:rsidRPr="000A6BE6" w:rsidRDefault="006635F3"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6635F3" w:rsidRPr="00A115AF" w:rsidRDefault="006635F3"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6635F3" w:rsidRPr="000A6BE6" w:rsidRDefault="006635F3"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6635F3" w:rsidRPr="00A115AF" w:rsidRDefault="006635F3"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B33338">
        <w:trPr>
          <w:trHeight w:val="395"/>
          <w:jc w:val="center"/>
        </w:trPr>
        <w:tc>
          <w:tcPr>
            <w:tcW w:w="47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B33338">
        <w:trPr>
          <w:trHeight w:val="395"/>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B33338">
        <w:trPr>
          <w:trHeight w:val="440"/>
          <w:jc w:val="center"/>
        </w:trPr>
        <w:tc>
          <w:tcPr>
            <w:tcW w:w="4707" w:type="dxa"/>
            <w:vAlign w:val="center"/>
          </w:tcPr>
          <w:p w:rsidR="004572DA" w:rsidRPr="00B02F31" w:rsidRDefault="001E507D" w:rsidP="00B02F31">
            <w:pPr>
              <w:spacing w:before="0" w:after="0"/>
              <w:ind w:left="0" w:firstLine="0"/>
              <w:rPr>
                <w:rFonts w:ascii="Times New Roman" w:hAnsi="Times New Roman"/>
              </w:rPr>
            </w:pPr>
            <w:r w:rsidRPr="00B02F31">
              <w:rPr>
                <w:rFonts w:ascii="Times New Roman" w:hAnsi="Times New Roman"/>
              </w:rPr>
              <w:t xml:space="preserve">Estimated </w:t>
            </w:r>
            <w:r w:rsidR="00B02F31">
              <w:rPr>
                <w:rFonts w:ascii="Times New Roman" w:hAnsi="Times New Roman"/>
              </w:rPr>
              <w:t>a</w:t>
            </w:r>
            <w:r w:rsidR="004572DA" w:rsidRPr="00B02F31">
              <w:rPr>
                <w:rFonts w:ascii="Times New Roman" w:hAnsi="Times New Roman"/>
              </w:rPr>
              <w:t xml:space="preserve">vailable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864" w:type="dxa"/>
            <w:vAlign w:val="center"/>
          </w:tcPr>
          <w:p w:rsidR="00B02F31" w:rsidRPr="00B02F31" w:rsidRDefault="004B1335" w:rsidP="001A6AE8">
            <w:pPr>
              <w:spacing w:before="0" w:after="0"/>
              <w:ind w:left="0" w:firstLine="0"/>
              <w:rPr>
                <w:rFonts w:ascii="Times New Roman" w:hAnsi="Times New Roman"/>
              </w:rPr>
            </w:pPr>
            <w:r>
              <w:rPr>
                <w:rFonts w:ascii="Times New Roman" w:hAnsi="Times New Roman"/>
              </w:rPr>
              <w:t>$597, 569</w:t>
            </w:r>
          </w:p>
        </w:tc>
      </w:tr>
      <w:tr w:rsidR="004572DA" w:rsidTr="00B33338">
        <w:trPr>
          <w:trHeight w:val="350"/>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864" w:type="dxa"/>
            <w:vAlign w:val="center"/>
          </w:tcPr>
          <w:p w:rsidR="004572DA" w:rsidRPr="005A434A" w:rsidRDefault="001A6AE8" w:rsidP="001A6AE8">
            <w:pPr>
              <w:spacing w:before="0" w:after="0"/>
              <w:ind w:left="0" w:firstLine="0"/>
              <w:rPr>
                <w:rFonts w:ascii="Times New Roman" w:hAnsi="Times New Roman"/>
              </w:rPr>
            </w:pPr>
            <w:r>
              <w:rPr>
                <w:rFonts w:ascii="Times New Roman" w:hAnsi="Times New Roman"/>
              </w:rPr>
              <w:t>July 1, 2015</w:t>
            </w:r>
            <w:r w:rsidR="00B55BF4" w:rsidRPr="005A434A">
              <w:rPr>
                <w:rFonts w:ascii="Times New Roman" w:hAnsi="Times New Roman"/>
              </w:rPr>
              <w:t xml:space="preserve"> – June 30, 201</w:t>
            </w:r>
            <w:r>
              <w:rPr>
                <w:rFonts w:ascii="Times New Roman" w:hAnsi="Times New Roman"/>
              </w:rPr>
              <w:t>6</w:t>
            </w:r>
            <w:r w:rsidR="00000DFC" w:rsidRPr="005A434A">
              <w:rPr>
                <w:rFonts w:ascii="Times New Roman" w:hAnsi="Times New Roman"/>
              </w:rPr>
              <w:t xml:space="preserve"> (</w:t>
            </w:r>
            <w:r>
              <w:rPr>
                <w:rFonts w:ascii="Times New Roman" w:hAnsi="Times New Roman"/>
              </w:rPr>
              <w:t>12 m</w:t>
            </w:r>
            <w:r w:rsidR="00000DFC" w:rsidRPr="005A434A">
              <w:rPr>
                <w:rFonts w:ascii="Times New Roman" w:hAnsi="Times New Roman"/>
              </w:rPr>
              <w:t>onths)</w:t>
            </w:r>
          </w:p>
        </w:tc>
      </w:tr>
      <w:tr w:rsidR="004572DA" w:rsidTr="002B542E">
        <w:trPr>
          <w:trHeight w:val="620"/>
          <w:jc w:val="center"/>
        </w:trPr>
        <w:tc>
          <w:tcPr>
            <w:tcW w:w="4707" w:type="dxa"/>
          </w:tcPr>
          <w:p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864" w:type="dxa"/>
          </w:tcPr>
          <w:p w:rsidR="00011778" w:rsidRPr="005A434A" w:rsidRDefault="000F5777" w:rsidP="00664CB4">
            <w:pPr>
              <w:spacing w:before="0" w:after="0"/>
              <w:rPr>
                <w:rFonts w:ascii="Times New Roman" w:hAnsi="Times New Roman"/>
              </w:rPr>
            </w:pPr>
            <w:r>
              <w:rPr>
                <w:rFonts w:ascii="Times New Roman" w:hAnsi="Times New Roman"/>
              </w:rPr>
              <w:t>72</w:t>
            </w:r>
            <w:r w:rsidR="00000DFC" w:rsidRPr="005A434A">
              <w:rPr>
                <w:rFonts w:ascii="Times New Roman" w:hAnsi="Times New Roman"/>
              </w:rPr>
              <w:t xml:space="preserve"> </w:t>
            </w:r>
            <w:r w:rsidR="00A46532">
              <w:rPr>
                <w:rFonts w:ascii="Times New Roman" w:hAnsi="Times New Roman"/>
              </w:rPr>
              <w:t>total authorized positions</w:t>
            </w:r>
            <w:r w:rsidR="00265985">
              <w:rPr>
                <w:rFonts w:ascii="Times New Roman" w:hAnsi="Times New Roman"/>
              </w:rPr>
              <w:t xml:space="preserve"> in </w:t>
            </w:r>
            <w:r w:rsidR="006635F3">
              <w:rPr>
                <w:rFonts w:ascii="Times New Roman" w:hAnsi="Times New Roman"/>
              </w:rPr>
              <w:t>Kings and New York Counties</w:t>
            </w:r>
            <w:r w:rsidR="00265985">
              <w:rPr>
                <w:rFonts w:ascii="Times New Roman" w:hAnsi="Times New Roman"/>
              </w:rPr>
              <w:t xml:space="preserve"> County</w:t>
            </w:r>
            <w:r w:rsidR="00893F3A">
              <w:rPr>
                <w:rFonts w:ascii="Times New Roman" w:hAnsi="Times New Roman"/>
              </w:rPr>
              <w:t xml:space="preserve"> (estimated)</w:t>
            </w:r>
          </w:p>
        </w:tc>
      </w:tr>
      <w:tr w:rsidR="004572DA" w:rsidTr="002B542E">
        <w:trPr>
          <w:trHeight w:val="2870"/>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B33338" w:rsidRPr="005A434A" w:rsidRDefault="00B33338" w:rsidP="006E21CD">
            <w:pPr>
              <w:spacing w:before="0" w:after="0"/>
              <w:ind w:left="0" w:firstLine="0"/>
              <w:rPr>
                <w:rFonts w:ascii="Times New Roman" w:hAnsi="Times New Roman"/>
              </w:rPr>
            </w:pPr>
          </w:p>
        </w:tc>
        <w:tc>
          <w:tcPr>
            <w:tcW w:w="4864"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7F5590" w:rsidRPr="005A434A">
                <w:rPr>
                  <w:rStyle w:val="Hyperlink"/>
                  <w:rFonts w:ascii="Times New Roman" w:hAnsi="Times New Roman"/>
                </w:rPr>
                <w:t>sga2012@ssa-i.</w:t>
              </w:r>
              <w:r w:rsidR="007F5590" w:rsidRPr="005A434A">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Pr="005A434A">
              <w:rPr>
                <w:rFonts w:ascii="Times New Roman" w:hAnsi="Times New Roman"/>
                <w:u w:val="single"/>
              </w:rPr>
              <w:t xml:space="preserve">4:00 p.m. </w:t>
            </w:r>
            <w:r w:rsidR="00995B5B">
              <w:rPr>
                <w:rFonts w:ascii="Times New Roman" w:hAnsi="Times New Roman"/>
                <w:u w:val="single"/>
              </w:rPr>
              <w:t>EDT</w:t>
            </w:r>
            <w:r w:rsidRPr="005A434A">
              <w:rPr>
                <w:rFonts w:ascii="Times New Roman" w:hAnsi="Times New Roman"/>
                <w:u w:val="single"/>
              </w:rPr>
              <w:t xml:space="preserve"> on </w:t>
            </w:r>
            <w:r w:rsidR="001A6AE8">
              <w:rPr>
                <w:rFonts w:ascii="Times New Roman" w:hAnsi="Times New Roman"/>
                <w:u w:val="single"/>
              </w:rPr>
              <w:t>May 15, 2015</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1200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B33338">
        <w:trPr>
          <w:trHeight w:val="638"/>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B33338">
        <w:trPr>
          <w:trHeight w:val="665"/>
          <w:jc w:val="center"/>
        </w:trPr>
        <w:tc>
          <w:tcPr>
            <w:tcW w:w="9571"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B33338">
        <w:trPr>
          <w:trHeight w:val="350"/>
          <w:jc w:val="center"/>
        </w:trPr>
        <w:tc>
          <w:tcPr>
            <w:tcW w:w="47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65F66" w:rsidRPr="005A434A" w:rsidRDefault="00011778" w:rsidP="001A6AE8">
            <w:pPr>
              <w:spacing w:before="0" w:after="0"/>
              <w:ind w:left="0" w:firstLine="0"/>
              <w:rPr>
                <w:rFonts w:ascii="Times New Roman" w:hAnsi="Times New Roman"/>
              </w:rPr>
            </w:pPr>
            <w:r>
              <w:rPr>
                <w:rFonts w:ascii="Times New Roman" w:hAnsi="Times New Roman"/>
              </w:rPr>
              <w:t xml:space="preserve">Wednesday, </w:t>
            </w:r>
            <w:r w:rsidR="001A6AE8">
              <w:rPr>
                <w:rFonts w:ascii="Times New Roman" w:hAnsi="Times New Roman"/>
              </w:rPr>
              <w:t>April 15, 2015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864" w:type="dxa"/>
            <w:vAlign w:val="center"/>
          </w:tcPr>
          <w:p w:rsidR="00F65F66" w:rsidRPr="005A434A" w:rsidRDefault="00011778" w:rsidP="001A6AE8">
            <w:pPr>
              <w:spacing w:before="0" w:after="0"/>
              <w:ind w:left="0" w:firstLine="0"/>
              <w:rPr>
                <w:rFonts w:ascii="Times New Roman" w:hAnsi="Times New Roman"/>
              </w:rPr>
            </w:pPr>
            <w:r>
              <w:rPr>
                <w:rFonts w:ascii="Times New Roman" w:hAnsi="Times New Roman"/>
              </w:rPr>
              <w:t xml:space="preserve">Monday, </w:t>
            </w:r>
            <w:r w:rsidR="001A6AE8">
              <w:rPr>
                <w:rFonts w:ascii="Times New Roman" w:hAnsi="Times New Roman"/>
              </w:rPr>
              <w:t>April 27, 2015</w:t>
            </w:r>
          </w:p>
        </w:tc>
      </w:tr>
      <w:tr w:rsidR="00C3118F" w:rsidRPr="00F91962" w:rsidTr="00B33338">
        <w:trPr>
          <w:trHeight w:val="350"/>
          <w:jc w:val="center"/>
        </w:trPr>
        <w:tc>
          <w:tcPr>
            <w:tcW w:w="47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864" w:type="dxa"/>
            <w:vAlign w:val="center"/>
          </w:tcPr>
          <w:p w:rsidR="00C3118F" w:rsidRPr="005A434A" w:rsidRDefault="002B542E" w:rsidP="001A6AE8">
            <w:pPr>
              <w:spacing w:before="0" w:after="0"/>
              <w:ind w:left="0" w:firstLine="0"/>
              <w:rPr>
                <w:rFonts w:ascii="Times New Roman" w:hAnsi="Times New Roman"/>
              </w:rPr>
            </w:pPr>
            <w:r>
              <w:rPr>
                <w:rFonts w:ascii="Times New Roman" w:hAnsi="Times New Roman"/>
              </w:rPr>
              <w:t xml:space="preserve">Tuesday, </w:t>
            </w:r>
            <w:r w:rsidR="001A6AE8">
              <w:rPr>
                <w:rFonts w:ascii="Times New Roman" w:hAnsi="Times New Roman"/>
              </w:rPr>
              <w:t>May 12</w:t>
            </w:r>
            <w:r>
              <w:rPr>
                <w:rFonts w:ascii="Times New Roman" w:hAnsi="Times New Roman"/>
              </w:rPr>
              <w:t>, 201</w:t>
            </w:r>
            <w:r w:rsidR="001A6AE8">
              <w:rPr>
                <w:rFonts w:ascii="Times New Roman" w:hAnsi="Times New Roman"/>
              </w:rPr>
              <w:t>5</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864" w:type="dxa"/>
            <w:vAlign w:val="center"/>
          </w:tcPr>
          <w:p w:rsidR="00F65F66" w:rsidRPr="005A434A" w:rsidRDefault="00A956CF" w:rsidP="001A6AE8">
            <w:pPr>
              <w:spacing w:before="0" w:after="0"/>
              <w:ind w:left="0" w:firstLine="0"/>
              <w:rPr>
                <w:rFonts w:ascii="Times New Roman" w:hAnsi="Times New Roman"/>
                <w:b/>
              </w:rPr>
            </w:pPr>
            <w:r w:rsidRPr="005A434A">
              <w:rPr>
                <w:rFonts w:ascii="Times New Roman" w:hAnsi="Times New Roman"/>
                <w:b/>
              </w:rPr>
              <w:t xml:space="preserve">Friday, </w:t>
            </w:r>
            <w:r w:rsidR="001A6AE8">
              <w:rPr>
                <w:rFonts w:ascii="Times New Roman" w:hAnsi="Times New Roman"/>
                <w:b/>
              </w:rPr>
              <w:t>May 15</w:t>
            </w:r>
            <w:r w:rsidR="00BB57C5" w:rsidRPr="005A434A">
              <w:rPr>
                <w:rFonts w:ascii="Times New Roman" w:hAnsi="Times New Roman"/>
                <w:b/>
              </w:rPr>
              <w:t>, 201</w:t>
            </w:r>
            <w:r w:rsidR="001A6AE8">
              <w:rPr>
                <w:rFonts w:ascii="Times New Roman" w:hAnsi="Times New Roman"/>
                <w:b/>
              </w:rPr>
              <w:t>5</w:t>
            </w:r>
            <w:r w:rsidR="00F65F66" w:rsidRPr="005A434A">
              <w:rPr>
                <w:rFonts w:ascii="Times New Roman" w:hAnsi="Times New Roman"/>
                <w:b/>
              </w:rPr>
              <w:t>, 4:00 p.m.</w:t>
            </w:r>
            <w:r w:rsidRPr="005A434A">
              <w:rPr>
                <w:rFonts w:ascii="Times New Roman" w:hAnsi="Times New Roman"/>
                <w:b/>
              </w:rPr>
              <w:t xml:space="preserve"> </w:t>
            </w:r>
            <w:r w:rsidR="00995B5B">
              <w:rPr>
                <w:rFonts w:ascii="Times New Roman" w:hAnsi="Times New Roman"/>
                <w:b/>
              </w:rPr>
              <w:t>EDT</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1A6AE8">
            <w:pPr>
              <w:spacing w:before="0" w:after="0"/>
              <w:ind w:left="0" w:firstLine="0"/>
              <w:rPr>
                <w:rFonts w:ascii="Times New Roman" w:hAnsi="Times New Roman"/>
              </w:rPr>
            </w:pPr>
            <w:r w:rsidRPr="005A434A">
              <w:rPr>
                <w:rFonts w:ascii="Times New Roman" w:hAnsi="Times New Roman"/>
              </w:rPr>
              <w:t xml:space="preserve">No later than </w:t>
            </w:r>
            <w:r w:rsidR="001A6AE8">
              <w:rPr>
                <w:rFonts w:ascii="Times New Roman" w:hAnsi="Times New Roman"/>
              </w:rPr>
              <w:t>Wednesday, May 27, 2015</w:t>
            </w:r>
          </w:p>
        </w:tc>
      </w:tr>
      <w:tr w:rsidR="00897EF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864" w:type="dxa"/>
            <w:tcBorders>
              <w:top w:val="single" w:sz="4" w:space="0" w:color="auto"/>
              <w:left w:val="single" w:sz="4" w:space="0" w:color="auto"/>
              <w:bottom w:val="single" w:sz="4" w:space="0" w:color="auto"/>
              <w:right w:val="single" w:sz="4" w:space="0" w:color="auto"/>
            </w:tcBorders>
            <w:vAlign w:val="center"/>
          </w:tcPr>
          <w:p w:rsidR="00897EF6" w:rsidRPr="005A434A" w:rsidRDefault="001A6AE8" w:rsidP="001A6AE8">
            <w:pPr>
              <w:spacing w:before="0" w:after="0"/>
              <w:ind w:left="0" w:firstLine="0"/>
              <w:rPr>
                <w:rFonts w:ascii="Times New Roman" w:hAnsi="Times New Roman"/>
              </w:rPr>
            </w:pPr>
            <w:r>
              <w:rPr>
                <w:rFonts w:ascii="Times New Roman" w:hAnsi="Times New Roman"/>
              </w:rPr>
              <w:t>May 27 – June 30, 2015</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1A6AE8" w:rsidP="001A6AE8">
            <w:pPr>
              <w:spacing w:before="0" w:after="0"/>
              <w:ind w:left="0" w:firstLine="0"/>
              <w:rPr>
                <w:rFonts w:ascii="Times New Roman" w:hAnsi="Times New Roman"/>
              </w:rPr>
            </w:pPr>
            <w:r>
              <w:rPr>
                <w:rFonts w:ascii="Times New Roman" w:hAnsi="Times New Roman"/>
              </w:rPr>
              <w:t>July 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6635F3">
        <w:rPr>
          <w:rFonts w:ascii="Times New Roman" w:hAnsi="Times New Roman"/>
          <w:sz w:val="24"/>
          <w:szCs w:val="24"/>
        </w:rPr>
        <w:t xml:space="preserve">Kings and New York Counties </w:t>
      </w:r>
      <w:r w:rsidR="001A6AE8">
        <w:rPr>
          <w:rFonts w:ascii="Times New Roman" w:hAnsi="Times New Roman"/>
          <w:sz w:val="24"/>
          <w:szCs w:val="24"/>
        </w:rPr>
        <w:t xml:space="preserve">in </w:t>
      </w:r>
      <w:r w:rsidR="006635F3">
        <w:rPr>
          <w:rFonts w:ascii="Times New Roman" w:hAnsi="Times New Roman"/>
          <w:sz w:val="24"/>
          <w:szCs w:val="24"/>
        </w:rPr>
        <w:t>New York</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1A6AE8">
        <w:rPr>
          <w:rFonts w:ascii="Times New Roman" w:hAnsi="Times New Roman"/>
          <w:sz w:val="24"/>
          <w:szCs w:val="24"/>
        </w:rPr>
        <w:t>twelve</w:t>
      </w:r>
      <w:r w:rsidR="00210D62">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1A6AE8">
        <w:rPr>
          <w:rFonts w:ascii="Times New Roman" w:hAnsi="Times New Roman"/>
          <w:sz w:val="24"/>
          <w:szCs w:val="24"/>
        </w:rPr>
        <w:t>July 1, 2015</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30, 201</w:t>
      </w:r>
      <w:r w:rsidR="001A6AE8">
        <w:rPr>
          <w:rFonts w:ascii="Times New Roman" w:hAnsi="Times New Roman"/>
          <w:sz w:val="24"/>
          <w:szCs w:val="24"/>
        </w:rPr>
        <w:t>6</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9710B5" w:rsidRDefault="009710B5" w:rsidP="009710B5">
      <w:pPr>
        <w:numPr>
          <w:ilvl w:val="0"/>
          <w:numId w:val="50"/>
        </w:numPr>
        <w:tabs>
          <w:tab w:val="num" w:pos="900"/>
        </w:tabs>
        <w:spacing w:before="0" w:after="0"/>
        <w:ind w:left="540" w:firstLine="0"/>
        <w:rPr>
          <w:rFonts w:ascii="Times New Roman" w:hAnsi="Times New Roman"/>
          <w:sz w:val="24"/>
          <w:szCs w:val="24"/>
        </w:rPr>
      </w:pPr>
      <w:r>
        <w:rPr>
          <w:rFonts w:ascii="Times New Roman" w:hAnsi="Times New Roman"/>
          <w:sz w:val="24"/>
          <w:szCs w:val="24"/>
        </w:rPr>
        <w:t>27 area agencies on aging</w:t>
      </w:r>
      <w:r>
        <w:rPr>
          <w:rFonts w:ascii="Times New Roman" w:hAnsi="Times New Roman"/>
          <w:color w:val="FF0000"/>
          <w:sz w:val="24"/>
          <w:szCs w:val="24"/>
        </w:rPr>
        <w:t xml:space="preserve"> </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 xml:space="preserve">16 workforce development agencies </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 xml:space="preserve">12 community action agencies </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 xml:space="preserve">11 regional councils of government </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 xml:space="preserve">Six faith-based organizations </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Two community colleges</w:t>
      </w:r>
    </w:p>
    <w:p w:rsidR="009710B5" w:rsidRDefault="009710B5" w:rsidP="009710B5">
      <w:pPr>
        <w:numPr>
          <w:ilvl w:val="0"/>
          <w:numId w:val="50"/>
        </w:numPr>
        <w:tabs>
          <w:tab w:val="num" w:pos="900"/>
        </w:tabs>
        <w:ind w:left="540" w:firstLine="0"/>
        <w:rPr>
          <w:rFonts w:ascii="Times New Roman" w:hAnsi="Times New Roman"/>
          <w:sz w:val="24"/>
          <w:szCs w:val="24"/>
        </w:rPr>
      </w:pPr>
      <w:r>
        <w:rPr>
          <w:rFonts w:ascii="Times New Roman" w:hAnsi="Times New Roman"/>
          <w:sz w:val="24"/>
          <w:szCs w:val="24"/>
        </w:rPr>
        <w:t>One local United Way</w:t>
      </w:r>
    </w:p>
    <w:p w:rsidR="009710B5" w:rsidRDefault="009710B5">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Pr="009710B5" w:rsidRDefault="004572DA" w:rsidP="009710B5">
      <w:pPr>
        <w:keepNext/>
        <w:keepLines/>
        <w:tabs>
          <w:tab w:val="left" w:pos="900"/>
        </w:tabs>
        <w:spacing w:before="0" w:after="0"/>
        <w:ind w:left="727" w:firstLine="0"/>
        <w:rPr>
          <w:rFonts w:ascii="Times New Roman" w:hAnsi="Times New Roman"/>
          <w:b/>
          <w:sz w:val="24"/>
          <w:szCs w:val="24"/>
        </w:rPr>
      </w:pPr>
      <w:r w:rsidRPr="009710B5">
        <w:rPr>
          <w:rFonts w:ascii="Arial" w:hAnsi="Arial" w:cs="Arial"/>
          <w:b/>
        </w:rPr>
        <w:lastRenderedPageBreak/>
        <w:t>C.</w:t>
      </w:r>
      <w:r w:rsidRPr="009710B5">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6635F3">
        <w:rPr>
          <w:rFonts w:ascii="Times New Roman" w:hAnsi="Times New Roman"/>
          <w:color w:val="auto"/>
          <w:sz w:val="24"/>
        </w:rPr>
        <w:t>62</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a</w:t>
      </w:r>
      <w:r w:rsidR="006A47ED">
        <w:rPr>
          <w:rFonts w:ascii="Times New Roman" w:hAnsi="Times New Roman"/>
          <w:color w:val="auto"/>
          <w:sz w:val="24"/>
        </w:rPr>
        <w:t xml:space="preserve"> full-time </w:t>
      </w:r>
      <w:r>
        <w:rPr>
          <w:rFonts w:ascii="Times New Roman" w:hAnsi="Times New Roman"/>
          <w:color w:val="auto"/>
          <w:sz w:val="24"/>
        </w:rPr>
        <w:t xml:space="preserve">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 xml:space="preserve">SCSEP regulations list required fringe benefits as: the offer of an annual physical examination; workers’ compensation coverage; </w:t>
      </w:r>
      <w:r w:rsidR="006635F3">
        <w:rPr>
          <w:rFonts w:ascii="Times New Roman" w:hAnsi="Times New Roman"/>
          <w:sz w:val="24"/>
          <w:szCs w:val="24"/>
        </w:rPr>
        <w:t xml:space="preserve">unemployment compensation; </w:t>
      </w:r>
      <w:r w:rsidRPr="000A7765">
        <w:rPr>
          <w:rFonts w:ascii="Times New Roman" w:hAnsi="Times New Roman"/>
          <w:sz w:val="24"/>
          <w:szCs w:val="24"/>
        </w:rPr>
        <w:t>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6635F3"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6635F3" w:rsidRDefault="006635F3">
      <w:pPr>
        <w:spacing w:before="0" w:after="0"/>
        <w:ind w:left="0" w:firstLine="0"/>
        <w:rPr>
          <w:rFonts w:ascii="Times New Roman" w:eastAsia="Times New Roman" w:hAnsi="Times New Roman"/>
          <w:sz w:val="24"/>
          <w:szCs w:val="24"/>
        </w:rPr>
      </w:pPr>
      <w:r>
        <w:br w:type="page"/>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6A47ED">
        <w:rPr>
          <w:rFonts w:ascii="Times New Roman" w:hAnsi="Times New Roman"/>
          <w:sz w:val="24"/>
          <w:szCs w:val="24"/>
        </w:rPr>
        <w:t>twelve</w:t>
      </w:r>
      <w:r w:rsidR="00D857B6">
        <w:rPr>
          <w:rFonts w:ascii="Times New Roman" w:hAnsi="Times New Roman"/>
          <w:sz w:val="24"/>
          <w:szCs w:val="24"/>
        </w:rPr>
        <w:t xml:space="preserve"> </w:t>
      </w:r>
      <w:r w:rsidR="00090EAE">
        <w:rPr>
          <w:rFonts w:ascii="Times New Roman" w:hAnsi="Times New Roman"/>
          <w:sz w:val="24"/>
          <w:szCs w:val="24"/>
        </w:rPr>
        <w:t>(1</w:t>
      </w:r>
      <w:r w:rsidR="006A47ED">
        <w:rPr>
          <w:rFonts w:ascii="Times New Roman" w:hAnsi="Times New Roman"/>
          <w:sz w:val="24"/>
          <w:szCs w:val="24"/>
        </w:rPr>
        <w:t>2</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PY1</w:t>
      </w:r>
      <w:r w:rsidR="006A47ED">
        <w:rPr>
          <w:rFonts w:ascii="Times New Roman" w:hAnsi="Times New Roman"/>
          <w:sz w:val="24"/>
          <w:szCs w:val="24"/>
        </w:rPr>
        <w:t>5</w:t>
      </w:r>
      <w:r w:rsidR="00090EAE">
        <w:rPr>
          <w:rFonts w:ascii="Times New Roman" w:hAnsi="Times New Roman"/>
          <w:sz w:val="24"/>
          <w:szCs w:val="24"/>
        </w:rPr>
        <w:t xml:space="preserve"> 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6A47ED" w:rsidP="004510D2">
            <w:pPr>
              <w:spacing w:before="0" w:after="0"/>
              <w:ind w:left="0" w:firstLine="0"/>
              <w:rPr>
                <w:rFonts w:ascii="Arial" w:eastAsia="Times New Roman" w:hAnsi="Arial" w:cs="Arial"/>
                <w:b/>
                <w:sz w:val="20"/>
                <w:szCs w:val="20"/>
              </w:rPr>
            </w:pPr>
            <w:r>
              <w:rPr>
                <w:rFonts w:ascii="Arial" w:eastAsia="Times New Roman" w:hAnsi="Arial" w:cs="Arial"/>
                <w:b/>
                <w:sz w:val="20"/>
                <w:szCs w:val="20"/>
              </w:rPr>
              <w:t>12</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6A47ED" w:rsidP="006A47ED">
            <w:pPr>
              <w:spacing w:before="0" w:after="0"/>
              <w:ind w:left="0" w:firstLine="0"/>
              <w:rPr>
                <w:rFonts w:ascii="Arial" w:eastAsia="Times New Roman" w:hAnsi="Arial" w:cs="Arial"/>
                <w:sz w:val="20"/>
                <w:szCs w:val="20"/>
              </w:rPr>
            </w:pPr>
            <w:r>
              <w:rPr>
                <w:rFonts w:ascii="Arial" w:eastAsia="Times New Roman" w:hAnsi="Arial" w:cs="Arial"/>
                <w:sz w:val="20"/>
                <w:szCs w:val="20"/>
              </w:rPr>
              <w:t>July 1, 2015</w:t>
            </w:r>
            <w:r w:rsidR="00D55E6C">
              <w:rPr>
                <w:rFonts w:ascii="Arial" w:eastAsia="Times New Roman" w:hAnsi="Arial" w:cs="Arial"/>
                <w:sz w:val="20"/>
                <w:szCs w:val="20"/>
              </w:rPr>
              <w:t xml:space="preserve"> – June 30, 201</w:t>
            </w:r>
            <w:r>
              <w:rPr>
                <w:rFonts w:ascii="Arial" w:eastAsia="Times New Roman" w:hAnsi="Arial" w:cs="Arial"/>
                <w:sz w:val="20"/>
                <w:szCs w:val="20"/>
              </w:rPr>
              <w:t>6</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6A47ED" w:rsidP="006A47ED">
            <w:pPr>
              <w:spacing w:before="0" w:after="0"/>
              <w:ind w:left="0" w:firstLine="0"/>
              <w:rPr>
                <w:rFonts w:ascii="Arial" w:eastAsia="Times New Roman" w:hAnsi="Arial" w:cs="Arial"/>
                <w:sz w:val="20"/>
                <w:szCs w:val="20"/>
              </w:rPr>
            </w:pPr>
            <w:r>
              <w:rPr>
                <w:rFonts w:ascii="Arial" w:eastAsia="Times New Roman" w:hAnsi="Arial" w:cs="Arial"/>
                <w:sz w:val="20"/>
                <w:szCs w:val="20"/>
              </w:rPr>
              <w:t>72</w:t>
            </w:r>
            <w:r w:rsidR="00D55E6C" w:rsidRPr="00984DEE">
              <w:rPr>
                <w:rFonts w:ascii="Arial" w:eastAsia="Times New Roman" w:hAnsi="Arial" w:cs="Arial"/>
                <w:sz w:val="20"/>
                <w:szCs w:val="20"/>
              </w:rPr>
              <w:t xml:space="preserve"> </w:t>
            </w:r>
            <w:r w:rsidR="004B1335">
              <w:rPr>
                <w:rFonts w:ascii="Arial" w:eastAsia="Times New Roman" w:hAnsi="Arial" w:cs="Arial"/>
                <w:sz w:val="20"/>
                <w:szCs w:val="20"/>
              </w:rPr>
              <w:t xml:space="preserve">authorized </w:t>
            </w:r>
            <w:r w:rsidR="00D55E6C" w:rsidRPr="00984DEE">
              <w:rPr>
                <w:rFonts w:ascii="Arial" w:eastAsia="Times New Roman" w:hAnsi="Arial" w:cs="Arial"/>
                <w:sz w:val="20"/>
                <w:szCs w:val="20"/>
              </w:rPr>
              <w:t>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9C7EA8">
              <w:rPr>
                <w:rFonts w:ascii="Arial" w:eastAsia="Times New Roman" w:hAnsi="Arial" w:cs="Arial"/>
                <w:sz w:val="20"/>
                <w:szCs w:val="20"/>
              </w:rPr>
              <w:t>527,169</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6635F3">
              <w:rPr>
                <w:rFonts w:ascii="Arial" w:eastAsia="Times New Roman" w:hAnsi="Arial" w:cs="Arial"/>
                <w:sz w:val="20"/>
                <w:szCs w:val="20"/>
              </w:rPr>
              <w:t>23,120</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6635F3">
              <w:rPr>
                <w:rFonts w:ascii="Arial" w:eastAsia="Times New Roman" w:hAnsi="Arial" w:cs="Arial"/>
                <w:sz w:val="20"/>
                <w:szCs w:val="20"/>
              </w:rPr>
              <w:t>47,280</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6635F3">
              <w:rPr>
                <w:rFonts w:ascii="Arial" w:eastAsia="Times New Roman" w:hAnsi="Arial" w:cs="Arial"/>
                <w:b/>
                <w:bCs/>
                <w:sz w:val="20"/>
                <w:szCs w:val="20"/>
              </w:rPr>
              <w:t xml:space="preserve"> 597,569</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6635F3">
              <w:rPr>
                <w:rFonts w:ascii="Arial" w:eastAsia="Times New Roman" w:hAnsi="Arial" w:cs="Arial"/>
                <w:sz w:val="20"/>
                <w:szCs w:val="20"/>
              </w:rPr>
              <w:t>77.525</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6635F3">
              <w:rPr>
                <w:rFonts w:ascii="Arial" w:eastAsia="Times New Roman" w:hAnsi="Arial" w:cs="Arial"/>
                <w:sz w:val="20"/>
                <w:szCs w:val="20"/>
              </w:rPr>
              <w:t xml:space="preserve">  675,094</w:t>
            </w: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1E7B86"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664CB4">
        <w:rPr>
          <w:rFonts w:ascii="Times New Roman" w:hAnsi="Times New Roman"/>
          <w:sz w:val="24"/>
        </w:rPr>
        <w:t xml:space="preserve">Kings and New York Counties. </w:t>
      </w:r>
      <w:r w:rsidR="006A47ED">
        <w:rPr>
          <w:rFonts w:ascii="Times New Roman" w:hAnsi="Times New Roman"/>
          <w:sz w:val="24"/>
        </w:rPr>
        <w:t xml:space="preserve">SSAI has not yet established its PY15 performance goals. </w:t>
      </w:r>
    </w:p>
    <w:p w:rsidR="006A47ED" w:rsidRDefault="006A47ED"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B1335">
        <w:rPr>
          <w:rFonts w:ascii="Times New Roman" w:hAnsi="Times New Roman"/>
          <w:sz w:val="24"/>
          <w:szCs w:val="24"/>
        </w:rPr>
        <w:t xml:space="preserve">modified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6635F3">
      <w:pPr>
        <w:tabs>
          <w:tab w:val="num" w:pos="900"/>
        </w:tabs>
        <w:spacing w:before="0" w:after="0"/>
        <w:ind w:left="1620" w:firstLine="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6635F3">
        <w:rPr>
          <w:rFonts w:ascii="Times New Roman" w:hAnsi="Times New Roman"/>
          <w:b/>
          <w:sz w:val="24"/>
          <w:szCs w:val="24"/>
        </w:rPr>
        <w:t>62 modified authorized</w:t>
      </w:r>
      <w:r w:rsidR="00F31B8D">
        <w:rPr>
          <w:rFonts w:ascii="Times New Roman" w:hAnsi="Times New Roman"/>
          <w:b/>
          <w:sz w:val="24"/>
          <w:szCs w:val="24"/>
        </w:rPr>
        <w:t xml:space="preserve"> positions = </w:t>
      </w:r>
      <w:r w:rsidR="006635F3">
        <w:rPr>
          <w:rFonts w:ascii="Times New Roman" w:hAnsi="Times New Roman"/>
          <w:b/>
          <w:sz w:val="24"/>
          <w:szCs w:val="24"/>
        </w:rPr>
        <w:t>99</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enrolled since July 1, 2007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006635F3">
        <w:t xml:space="preserve">modified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6635F3">
        <w:rPr>
          <w:rFonts w:ascii="Times New Roman" w:hAnsi="Times New Roman"/>
          <w:b/>
          <w:sz w:val="24"/>
          <w:szCs w:val="24"/>
        </w:rPr>
        <w:t>6</w:t>
      </w:r>
      <w:r w:rsidR="006A47ED">
        <w:rPr>
          <w:rFonts w:ascii="Times New Roman" w:hAnsi="Times New Roman"/>
          <w:b/>
          <w:sz w:val="24"/>
          <w:szCs w:val="24"/>
        </w:rPr>
        <w:t>2</w:t>
      </w:r>
      <w:r>
        <w:rPr>
          <w:rFonts w:ascii="Times New Roman" w:hAnsi="Times New Roman"/>
          <w:b/>
          <w:sz w:val="24"/>
          <w:szCs w:val="24"/>
        </w:rPr>
        <w:t xml:space="preserve"> positions = </w:t>
      </w:r>
      <w:r w:rsidR="006635F3">
        <w:rPr>
          <w:rFonts w:ascii="Times New Roman" w:hAnsi="Times New Roman"/>
          <w:b/>
          <w:sz w:val="24"/>
          <w:szCs w:val="24"/>
        </w:rPr>
        <w:t>19</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jobs</w:t>
      </w:r>
      <w:proofErr w:type="gramEnd"/>
      <w:r>
        <w:rPr>
          <w:rFonts w:ascii="Times New Roman" w:hAnsi="Times New Roman"/>
          <w:b/>
          <w:sz w:val="24"/>
          <w:szCs w:val="24"/>
        </w:rPr>
        <w:t xml:space="preserve">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265985">
        <w:rPr>
          <w:rFonts w:ascii="Times New Roman" w:hAnsi="Times New Roman"/>
          <w:sz w:val="24"/>
          <w:szCs w:val="24"/>
        </w:rPr>
        <w:t>SSAI discourages any 501(c</w:t>
      </w:r>
      <w:proofErr w:type="gramStart"/>
      <w:r w:rsidR="00265985">
        <w:rPr>
          <w:rFonts w:ascii="Times New Roman" w:hAnsi="Times New Roman"/>
          <w:sz w:val="24"/>
          <w:szCs w:val="24"/>
        </w:rPr>
        <w:t>)(</w:t>
      </w:r>
      <w:proofErr w:type="gramEnd"/>
      <w:r w:rsidR="00265985">
        <w:rPr>
          <w:rFonts w:ascii="Times New Roman" w:hAnsi="Times New Roman"/>
          <w:sz w:val="24"/>
          <w:szCs w:val="24"/>
        </w:rPr>
        <w:t>3) non-profit or government agency  from applying that intends to subcontract this SCSEP subgrant to another agency to provide services.</w:t>
      </w:r>
    </w:p>
    <w:p w:rsidR="00A46532" w:rsidRDefault="00A46532" w:rsidP="000A7765">
      <w:pPr>
        <w:spacing w:before="0" w:after="0"/>
        <w:ind w:left="0" w:firstLine="0"/>
        <w:rPr>
          <w:rFonts w:ascii="Times New Roman" w:hAnsi="Times New Roman"/>
          <w:sz w:val="24"/>
          <w:szCs w:val="24"/>
        </w:rPr>
      </w:pP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2E16A9">
        <w:rPr>
          <w:rFonts w:ascii="Times New Roman" w:hAnsi="Times New Roman"/>
          <w:b/>
          <w:sz w:val="24"/>
          <w:szCs w:val="24"/>
        </w:rPr>
        <w:t xml:space="preserve">Friday, </w:t>
      </w:r>
      <w:r w:rsidR="00265985">
        <w:rPr>
          <w:rFonts w:ascii="Times New Roman" w:hAnsi="Times New Roman"/>
          <w:b/>
          <w:sz w:val="24"/>
          <w:szCs w:val="24"/>
        </w:rPr>
        <w:t>May 15</w:t>
      </w:r>
      <w:r w:rsidRPr="0036082A">
        <w:rPr>
          <w:rFonts w:ascii="Times New Roman" w:hAnsi="Times New Roman"/>
          <w:b/>
          <w:sz w:val="24"/>
          <w:szCs w:val="24"/>
        </w:rPr>
        <w:t>, 201</w:t>
      </w:r>
      <w:r w:rsidR="00265985">
        <w:rPr>
          <w:rFonts w:ascii="Times New Roman" w:hAnsi="Times New Roman"/>
          <w:b/>
          <w:sz w:val="24"/>
          <w:szCs w:val="24"/>
        </w:rPr>
        <w:t>5</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265985">
        <w:rPr>
          <w:rFonts w:ascii="Times New Roman" w:hAnsi="Times New Roman"/>
          <w:b/>
          <w:sz w:val="24"/>
          <w:szCs w:val="24"/>
        </w:rPr>
        <w:t>no later than Wednesday, May 27, 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 xml:space="preserve">Monday, </w:t>
      </w:r>
      <w:r w:rsidR="00265985">
        <w:rPr>
          <w:rFonts w:ascii="Times New Roman" w:hAnsi="Times New Roman"/>
          <w:b/>
          <w:sz w:val="24"/>
          <w:szCs w:val="24"/>
        </w:rPr>
        <w:t>April 27, 2015</w:t>
      </w:r>
      <w:r w:rsidR="00AF3EF1">
        <w:rPr>
          <w:rFonts w:ascii="Times New Roman" w:hAnsi="Times New Roman"/>
          <w:b/>
          <w:sz w:val="24"/>
          <w:szCs w:val="24"/>
        </w:rPr>
        <w:t>,</w:t>
      </w:r>
      <w:r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6635F3">
        <w:rPr>
          <w:rFonts w:ascii="Times New Roman" w:hAnsi="Times New Roman"/>
          <w:b/>
          <w:sz w:val="24"/>
          <w:szCs w:val="24"/>
        </w:rPr>
        <w:t xml:space="preserve">3:30 – 4:30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Pr>
          <w:rFonts w:ascii="Times New Roman" w:hAnsi="Times New Roman"/>
          <w:sz w:val="24"/>
          <w:szCs w:val="24"/>
        </w:rPr>
        <w:t>via a SSAI web link on the SSAI website. Potential applicants need not attend the w</w:t>
      </w:r>
      <w:r w:rsidR="00274430">
        <w:rPr>
          <w:rFonts w:ascii="Times New Roman" w:hAnsi="Times New Roman"/>
          <w:sz w:val="24"/>
          <w:szCs w:val="24"/>
        </w:rPr>
        <w:t xml:space="preserve">ebinar to submit an application,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664530" w:rsidRDefault="00115895" w:rsidP="00265985">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265985" w:rsidRPr="00664530" w:rsidRDefault="005217E9" w:rsidP="00664530">
      <w:pPr>
        <w:widowControl w:val="0"/>
        <w:spacing w:before="0" w:after="0"/>
        <w:ind w:left="0" w:firstLine="360"/>
        <w:rPr>
          <w:rFonts w:ascii="Times New Roman" w:hAnsi="Times New Roman"/>
          <w:sz w:val="24"/>
          <w:szCs w:val="24"/>
        </w:rPr>
      </w:pPr>
      <w:hyperlink r:id="rId30" w:history="1">
        <w:r w:rsidR="00265985" w:rsidRPr="00664530">
          <w:rPr>
            <w:rStyle w:val="Hyperlink"/>
            <w:rFonts w:ascii="Times New Roman" w:hAnsi="Times New Roman"/>
            <w:sz w:val="24"/>
            <w:szCs w:val="24"/>
          </w:rPr>
          <w:t>https://connect1.uc.att.com/service13/meet/?ExEventID=87387350&amp;CT=M</w:t>
        </w:r>
      </w:hyperlink>
    </w:p>
    <w:p w:rsidR="00265985" w:rsidRPr="00664530" w:rsidRDefault="00265985" w:rsidP="00680FBE">
      <w:pPr>
        <w:tabs>
          <w:tab w:val="left" w:pos="0"/>
        </w:tabs>
        <w:spacing w:before="0" w:after="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A46532" w:rsidRDefault="00A46532">
      <w:pPr>
        <w:spacing w:before="0" w:after="0"/>
        <w:ind w:left="0" w:firstLine="0"/>
      </w:pPr>
      <w:r>
        <w:br w:type="page"/>
      </w:r>
    </w:p>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lastRenderedPageBreak/>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265985" w:rsidRDefault="004572DA" w:rsidP="00265985">
      <w:pPr>
        <w:pStyle w:val="ListParagraph"/>
        <w:numPr>
          <w:ilvl w:val="0"/>
          <w:numId w:val="49"/>
        </w:numPr>
      </w:pPr>
      <w:r w:rsidRPr="00265985">
        <w:t>201</w:t>
      </w:r>
      <w:r w:rsidR="00265985" w:rsidRPr="00265985">
        <w:t>5</w:t>
      </w:r>
      <w:r w:rsidRPr="00265985">
        <w:t xml:space="preserve"> </w:t>
      </w:r>
      <w:r w:rsidR="002C2E1D" w:rsidRPr="00265985">
        <w:t>SCSEP Federal Poverty Guidelines, TEGL 1</w:t>
      </w:r>
      <w:r w:rsidR="00265985">
        <w:t>8-14</w:t>
      </w:r>
    </w:p>
    <w:p w:rsidR="00265985" w:rsidRPr="00265985" w:rsidRDefault="00265985" w:rsidP="00265985">
      <w:pPr>
        <w:keepNext/>
        <w:keepLines/>
        <w:tabs>
          <w:tab w:val="left" w:pos="360"/>
        </w:tabs>
        <w:rPr>
          <w:rFonts w:ascii="Times New Roman" w:hAnsi="Times New Roman"/>
          <w:sz w:val="24"/>
          <w:szCs w:val="24"/>
        </w:rPr>
      </w:pPr>
      <w:r>
        <w:rPr>
          <w:rFonts w:ascii="Times New Roman" w:hAnsi="Times New Roman"/>
          <w:sz w:val="24"/>
          <w:szCs w:val="24"/>
        </w:rPr>
        <w:tab/>
      </w:r>
      <w:hyperlink r:id="rId35" w:history="1">
        <w:r w:rsidRPr="00265985">
          <w:rPr>
            <w:rStyle w:val="Hyperlink"/>
            <w:rFonts w:ascii="Times New Roman" w:hAnsi="Times New Roman"/>
            <w:sz w:val="24"/>
            <w:szCs w:val="24"/>
          </w:rPr>
          <w:t>http://wdr.doleta.gov/directives/corr_doc.cfm?docn=4111</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265985" w:rsidP="0026598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2015</w:t>
            </w:r>
            <w:r w:rsidR="002F518C">
              <w:rPr>
                <w:rStyle w:val="head1Char"/>
                <w:rFonts w:ascii="Calibri" w:hAnsi="Calibri" w:cs="Arial"/>
                <w:sz w:val="20"/>
              </w:rPr>
              <w:t xml:space="preserve"> - June 30, 201</w:t>
            </w:r>
            <w:r>
              <w:rPr>
                <w:rStyle w:val="head1Char"/>
                <w:rFonts w:ascii="Calibri" w:hAnsi="Calibri" w:cs="Arial"/>
                <w:sz w:val="20"/>
              </w:rPr>
              <w:t>6</w:t>
            </w:r>
          </w:p>
        </w:tc>
        <w:tc>
          <w:tcPr>
            <w:tcW w:w="4788" w:type="dxa"/>
          </w:tcPr>
          <w:p w:rsidR="00600F79" w:rsidRPr="00600F79" w:rsidRDefault="006635F3" w:rsidP="00210D62">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$597,569</w:t>
            </w:r>
          </w:p>
        </w:tc>
      </w:tr>
    </w:tbl>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6635F3">
        <w:rPr>
          <w:rFonts w:cs="Arial"/>
          <w:sz w:val="20"/>
          <w:szCs w:val="20"/>
          <w:u w:val="single"/>
        </w:rPr>
        <w:t>Kings and New York Counties, NY</w:t>
      </w:r>
      <w:r w:rsidR="00265985">
        <w:rPr>
          <w:rFonts w:cs="Arial"/>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6635F3">
        <w:rPr>
          <w:rStyle w:val="head1Char"/>
          <w:rFonts w:ascii="Calibri" w:hAnsi="Calibri" w:cs="Arial"/>
          <w:sz w:val="20"/>
          <w:szCs w:val="20"/>
          <w:u w:val="single"/>
        </w:rPr>
        <w:t>Kings and New York Counties, NY</w:t>
      </w:r>
      <w:r w:rsidR="00265985">
        <w:rPr>
          <w:rStyle w:val="head1Char"/>
          <w:rFonts w:ascii="Calibri" w:hAnsi="Calibri" w:cs="Arial"/>
          <w:sz w:val="20"/>
          <w:szCs w:val="20"/>
          <w:u w:val="single"/>
        </w:rPr>
        <w:t xml:space="preserve"> </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265985" w:rsidP="001E7B8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2015 – June 30, 2016</w:t>
            </w:r>
          </w:p>
        </w:tc>
        <w:tc>
          <w:tcPr>
            <w:tcW w:w="4788" w:type="dxa"/>
          </w:tcPr>
          <w:p w:rsidR="00600F79" w:rsidRPr="00600F79" w:rsidRDefault="006635F3"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$597,569</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5217E9">
        <w:rPr>
          <w:rFonts w:cs="Arial"/>
          <w:sz w:val="24"/>
          <w:szCs w:val="24"/>
        </w:rPr>
      </w:r>
      <w:r w:rsidR="005217E9">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5217E9">
        <w:rPr>
          <w:rFonts w:cs="Arial"/>
          <w:sz w:val="24"/>
          <w:szCs w:val="24"/>
        </w:rPr>
      </w:r>
      <w:r w:rsidR="005217E9">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6635F3">
        <w:rPr>
          <w:rFonts w:asciiTheme="minorHAnsi" w:hAnsiTheme="minorHAnsi" w:cs="Arial"/>
          <w:sz w:val="20"/>
        </w:rPr>
        <w:t xml:space="preserve">Kings and New York Counties.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5217E9">
        <w:rPr>
          <w:rFonts w:cs="Arial"/>
          <w:sz w:val="20"/>
          <w:szCs w:val="20"/>
        </w:rPr>
      </w:r>
      <w:r w:rsidR="005217E9">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F3" w:rsidRDefault="006635F3" w:rsidP="00B417CE">
      <w:pPr>
        <w:spacing w:before="0" w:after="0"/>
      </w:pPr>
      <w:r>
        <w:separator/>
      </w:r>
    </w:p>
  </w:endnote>
  <w:endnote w:type="continuationSeparator" w:id="0">
    <w:p w:rsidR="006635F3" w:rsidRDefault="006635F3"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6635F3" w:rsidRPr="003A3987">
      <w:tc>
        <w:tcPr>
          <w:tcW w:w="500" w:type="pct"/>
          <w:tcBorders>
            <w:top w:val="single" w:sz="4" w:space="0" w:color="943634"/>
          </w:tcBorders>
          <w:shd w:val="clear" w:color="auto" w:fill="943634"/>
        </w:tcPr>
        <w:p w:rsidR="006635F3" w:rsidRPr="003A3987" w:rsidRDefault="006635F3"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6635F3" w:rsidRPr="004153DE" w:rsidRDefault="006635F3"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6635F3" w:rsidRDefault="006635F3"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6635F3" w:rsidRPr="003A3987">
      <w:tc>
        <w:tcPr>
          <w:tcW w:w="500" w:type="pct"/>
          <w:tcBorders>
            <w:top w:val="single" w:sz="4" w:space="0" w:color="943634"/>
          </w:tcBorders>
          <w:shd w:val="clear" w:color="auto" w:fill="943634"/>
        </w:tcPr>
        <w:p w:rsidR="006635F3" w:rsidRPr="003A3987" w:rsidRDefault="006635F3" w:rsidP="00171AB8">
          <w:pPr>
            <w:pStyle w:val="Footer"/>
            <w:jc w:val="right"/>
            <w:rPr>
              <w:b/>
              <w:color w:val="FFFFFF"/>
            </w:rPr>
          </w:pPr>
          <w:r>
            <w:fldChar w:fldCharType="begin"/>
          </w:r>
          <w:r>
            <w:instrText xml:space="preserve"> PAGE   \* MERGEFORMAT </w:instrText>
          </w:r>
          <w:r>
            <w:fldChar w:fldCharType="separate"/>
          </w:r>
          <w:r w:rsidR="005217E9" w:rsidRPr="005217E9">
            <w:rPr>
              <w:noProof/>
              <w:color w:val="FFFFFF"/>
            </w:rPr>
            <w:t>0</w:t>
          </w:r>
          <w:r>
            <w:rPr>
              <w:noProof/>
              <w:color w:val="FFFFFF"/>
            </w:rPr>
            <w:fldChar w:fldCharType="end"/>
          </w:r>
        </w:p>
      </w:tc>
      <w:tc>
        <w:tcPr>
          <w:tcW w:w="4500" w:type="pct"/>
          <w:tcBorders>
            <w:top w:val="single" w:sz="4" w:space="0" w:color="auto"/>
          </w:tcBorders>
        </w:tcPr>
        <w:p w:rsidR="006635F3" w:rsidRPr="004153DE" w:rsidRDefault="006635F3"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6635F3" w:rsidRDefault="00663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3" w:rsidRDefault="006635F3">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6635F3" w:rsidRPr="003A3987">
      <w:tc>
        <w:tcPr>
          <w:tcW w:w="500" w:type="pct"/>
          <w:tcBorders>
            <w:top w:val="single" w:sz="4" w:space="0" w:color="943634"/>
          </w:tcBorders>
          <w:shd w:val="clear" w:color="auto" w:fill="943634"/>
        </w:tcPr>
        <w:p w:rsidR="006635F3" w:rsidRPr="003A3987" w:rsidRDefault="006635F3"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6635F3" w:rsidRPr="004153DE" w:rsidRDefault="006635F3"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6635F3" w:rsidRDefault="006635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6635F3" w:rsidRPr="003A3987">
      <w:tc>
        <w:tcPr>
          <w:tcW w:w="500" w:type="pct"/>
          <w:tcBorders>
            <w:top w:val="single" w:sz="4" w:space="0" w:color="943634"/>
          </w:tcBorders>
          <w:shd w:val="clear" w:color="auto" w:fill="943634"/>
        </w:tcPr>
        <w:p w:rsidR="006635F3" w:rsidRPr="003A3987" w:rsidRDefault="006635F3"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6635F3" w:rsidRPr="004153DE" w:rsidRDefault="006635F3"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6635F3" w:rsidRDefault="006635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6635F3" w:rsidTr="0037701A">
      <w:tc>
        <w:tcPr>
          <w:tcW w:w="4621" w:type="pct"/>
          <w:tcBorders>
            <w:top w:val="single" w:sz="4" w:space="0" w:color="000000"/>
          </w:tcBorders>
        </w:tcPr>
        <w:p w:rsidR="006635F3" w:rsidRDefault="006635F3" w:rsidP="000F5777">
          <w:pPr>
            <w:pStyle w:val="Footer"/>
          </w:pPr>
          <w:r w:rsidRPr="00AC621A">
            <w:rPr>
              <w:b/>
            </w:rPr>
            <w:t>Senior Service America</w:t>
          </w:r>
          <w:r>
            <w:rPr>
              <w:b/>
            </w:rPr>
            <w:t xml:space="preserve"> – RFP –  Kings and New York Counties, NY PY2014</w:t>
          </w:r>
        </w:p>
      </w:tc>
      <w:tc>
        <w:tcPr>
          <w:tcW w:w="379" w:type="pct"/>
          <w:tcBorders>
            <w:top w:val="single" w:sz="4" w:space="0" w:color="C0504D"/>
          </w:tcBorders>
          <w:shd w:val="clear" w:color="auto" w:fill="943634"/>
        </w:tcPr>
        <w:p w:rsidR="006635F3" w:rsidRDefault="006635F3">
          <w:pPr>
            <w:pStyle w:val="Header"/>
            <w:rPr>
              <w:color w:val="FFFFFF"/>
            </w:rPr>
          </w:pPr>
          <w:r>
            <w:fldChar w:fldCharType="begin"/>
          </w:r>
          <w:r>
            <w:instrText xml:space="preserve"> PAGE   \* MERGEFORMAT </w:instrText>
          </w:r>
          <w:r>
            <w:fldChar w:fldCharType="separate"/>
          </w:r>
          <w:r w:rsidR="005217E9" w:rsidRPr="005217E9">
            <w:rPr>
              <w:noProof/>
              <w:color w:val="FFFFFF"/>
            </w:rPr>
            <w:t>18</w:t>
          </w:r>
          <w:r>
            <w:rPr>
              <w:noProof/>
              <w:color w:val="FFFFFF"/>
            </w:rPr>
            <w:fldChar w:fldCharType="end"/>
          </w:r>
        </w:p>
      </w:tc>
    </w:tr>
  </w:tbl>
  <w:p w:rsidR="006635F3" w:rsidRDefault="006635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6635F3" w:rsidTr="00087002">
      <w:trPr>
        <w:trHeight w:val="230"/>
      </w:trPr>
      <w:tc>
        <w:tcPr>
          <w:tcW w:w="4500" w:type="pct"/>
          <w:tcBorders>
            <w:top w:val="single" w:sz="4" w:space="0" w:color="000000"/>
          </w:tcBorders>
        </w:tcPr>
        <w:p w:rsidR="006635F3" w:rsidRDefault="006635F3" w:rsidP="000F5777">
          <w:pPr>
            <w:pStyle w:val="Footer"/>
          </w:pPr>
          <w:r w:rsidRPr="00AC621A">
            <w:rPr>
              <w:b/>
            </w:rPr>
            <w:t>Senior Service America</w:t>
          </w:r>
          <w:r>
            <w:rPr>
              <w:b/>
            </w:rPr>
            <w:t xml:space="preserve"> – RFP –  Kings and New York Counties, NY  PY2014</w:t>
          </w:r>
          <w:r>
            <w:t xml:space="preserve"> </w:t>
          </w:r>
        </w:p>
      </w:tc>
      <w:tc>
        <w:tcPr>
          <w:tcW w:w="500" w:type="pct"/>
          <w:tcBorders>
            <w:top w:val="single" w:sz="4" w:space="0" w:color="C0504D"/>
          </w:tcBorders>
          <w:shd w:val="clear" w:color="auto" w:fill="943634"/>
        </w:tcPr>
        <w:p w:rsidR="006635F3" w:rsidRPr="00087002" w:rsidRDefault="006635F3"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5217E9">
            <w:rPr>
              <w:rStyle w:val="PageNumber"/>
              <w:noProof/>
              <w:color w:val="FFFFFF"/>
            </w:rPr>
            <w:t>7</w:t>
          </w:r>
          <w:r w:rsidRPr="00087002">
            <w:rPr>
              <w:rStyle w:val="PageNumber"/>
              <w:color w:val="FFFFFF"/>
            </w:rPr>
            <w:fldChar w:fldCharType="end"/>
          </w:r>
        </w:p>
      </w:tc>
    </w:tr>
  </w:tbl>
  <w:p w:rsidR="006635F3" w:rsidRPr="0037701A" w:rsidRDefault="006635F3"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F3" w:rsidRDefault="006635F3" w:rsidP="00B417CE">
      <w:pPr>
        <w:spacing w:before="0" w:after="0"/>
      </w:pPr>
      <w:r>
        <w:separator/>
      </w:r>
    </w:p>
  </w:footnote>
  <w:footnote w:type="continuationSeparator" w:id="0">
    <w:p w:rsidR="006635F3" w:rsidRDefault="006635F3"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3" w:rsidRDefault="006635F3" w:rsidP="0037701A">
    <w:pPr>
      <w:pStyle w:val="Header"/>
      <w:pBdr>
        <w:top w:val="thickThinSmallGap" w:sz="24" w:space="1" w:color="auto"/>
      </w:pBdr>
    </w:pPr>
  </w:p>
  <w:p w:rsidR="006635F3" w:rsidRPr="00F0494F" w:rsidRDefault="006635F3"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3" w:rsidRPr="00142189" w:rsidRDefault="006635F3"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3" w:rsidRDefault="006635F3"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3" w:rsidRDefault="006635F3"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8"/>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4"/>
  </w:num>
  <w:num w:numId="18">
    <w:abstractNumId w:val="14"/>
  </w:num>
  <w:num w:numId="19">
    <w:abstractNumId w:val="42"/>
  </w:num>
  <w:num w:numId="20">
    <w:abstractNumId w:val="31"/>
  </w:num>
  <w:num w:numId="21">
    <w:abstractNumId w:val="33"/>
  </w:num>
  <w:num w:numId="22">
    <w:abstractNumId w:val="40"/>
  </w:num>
  <w:num w:numId="23">
    <w:abstractNumId w:val="38"/>
  </w:num>
  <w:num w:numId="24">
    <w:abstractNumId w:val="47"/>
  </w:num>
  <w:num w:numId="25">
    <w:abstractNumId w:val="28"/>
  </w:num>
  <w:num w:numId="26">
    <w:abstractNumId w:val="3"/>
  </w:num>
  <w:num w:numId="27">
    <w:abstractNumId w:val="41"/>
  </w:num>
  <w:num w:numId="28">
    <w:abstractNumId w:val="45"/>
  </w:num>
  <w:num w:numId="29">
    <w:abstractNumId w:val="10"/>
  </w:num>
  <w:num w:numId="30">
    <w:abstractNumId w:val="43"/>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6"/>
  </w:num>
  <w:num w:numId="49">
    <w:abstractNumId w:val="3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0F5777"/>
    <w:rsid w:val="0010119B"/>
    <w:rsid w:val="001017DB"/>
    <w:rsid w:val="00104344"/>
    <w:rsid w:val="00115895"/>
    <w:rsid w:val="001208C0"/>
    <w:rsid w:val="00123AED"/>
    <w:rsid w:val="001261FF"/>
    <w:rsid w:val="00142189"/>
    <w:rsid w:val="001516BB"/>
    <w:rsid w:val="00154AF4"/>
    <w:rsid w:val="00156FB7"/>
    <w:rsid w:val="00171AB8"/>
    <w:rsid w:val="00177A97"/>
    <w:rsid w:val="00183206"/>
    <w:rsid w:val="001917A4"/>
    <w:rsid w:val="001A0E83"/>
    <w:rsid w:val="001A6AE8"/>
    <w:rsid w:val="001B2A00"/>
    <w:rsid w:val="001B3BBE"/>
    <w:rsid w:val="001D51BB"/>
    <w:rsid w:val="001D6A19"/>
    <w:rsid w:val="001E256A"/>
    <w:rsid w:val="001E507D"/>
    <w:rsid w:val="001E55C8"/>
    <w:rsid w:val="001E7B86"/>
    <w:rsid w:val="001F0ED3"/>
    <w:rsid w:val="001F2F37"/>
    <w:rsid w:val="001F5842"/>
    <w:rsid w:val="00200F5D"/>
    <w:rsid w:val="00210D62"/>
    <w:rsid w:val="0021121A"/>
    <w:rsid w:val="002118C2"/>
    <w:rsid w:val="0021238A"/>
    <w:rsid w:val="00217C9F"/>
    <w:rsid w:val="0024284B"/>
    <w:rsid w:val="0024599C"/>
    <w:rsid w:val="0025383B"/>
    <w:rsid w:val="00265985"/>
    <w:rsid w:val="00265EF0"/>
    <w:rsid w:val="00274430"/>
    <w:rsid w:val="00281B97"/>
    <w:rsid w:val="00292F2B"/>
    <w:rsid w:val="00295F42"/>
    <w:rsid w:val="002A5E21"/>
    <w:rsid w:val="002A6701"/>
    <w:rsid w:val="002B3774"/>
    <w:rsid w:val="002B3B6D"/>
    <w:rsid w:val="002B49DD"/>
    <w:rsid w:val="002B542E"/>
    <w:rsid w:val="002B73E4"/>
    <w:rsid w:val="002C2E1D"/>
    <w:rsid w:val="002E16A9"/>
    <w:rsid w:val="002E6BB0"/>
    <w:rsid w:val="002F3C9E"/>
    <w:rsid w:val="002F518C"/>
    <w:rsid w:val="002F5426"/>
    <w:rsid w:val="002F5E7B"/>
    <w:rsid w:val="003022C6"/>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B1335"/>
    <w:rsid w:val="004D4A59"/>
    <w:rsid w:val="004D6DB5"/>
    <w:rsid w:val="004D70CD"/>
    <w:rsid w:val="004E48CD"/>
    <w:rsid w:val="004E68AD"/>
    <w:rsid w:val="004F4673"/>
    <w:rsid w:val="004F5B3D"/>
    <w:rsid w:val="00502FA1"/>
    <w:rsid w:val="00503C2D"/>
    <w:rsid w:val="00510316"/>
    <w:rsid w:val="00516469"/>
    <w:rsid w:val="005217E9"/>
    <w:rsid w:val="00523D90"/>
    <w:rsid w:val="0054092B"/>
    <w:rsid w:val="00544414"/>
    <w:rsid w:val="0056087C"/>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635F3"/>
    <w:rsid w:val="00664530"/>
    <w:rsid w:val="00664CB4"/>
    <w:rsid w:val="00670339"/>
    <w:rsid w:val="006745C8"/>
    <w:rsid w:val="00675C29"/>
    <w:rsid w:val="00680FBE"/>
    <w:rsid w:val="0068582B"/>
    <w:rsid w:val="006862CE"/>
    <w:rsid w:val="00696D58"/>
    <w:rsid w:val="006A47ED"/>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DCE"/>
    <w:rsid w:val="00762C4C"/>
    <w:rsid w:val="00764579"/>
    <w:rsid w:val="00775DE6"/>
    <w:rsid w:val="00775F65"/>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5CF1"/>
    <w:rsid w:val="008179EB"/>
    <w:rsid w:val="00822FD1"/>
    <w:rsid w:val="00834534"/>
    <w:rsid w:val="00842581"/>
    <w:rsid w:val="0084480F"/>
    <w:rsid w:val="00851EF7"/>
    <w:rsid w:val="0085355C"/>
    <w:rsid w:val="008538B9"/>
    <w:rsid w:val="0085529F"/>
    <w:rsid w:val="00865039"/>
    <w:rsid w:val="00873FC5"/>
    <w:rsid w:val="00875858"/>
    <w:rsid w:val="008900C2"/>
    <w:rsid w:val="00893F3A"/>
    <w:rsid w:val="00897EF6"/>
    <w:rsid w:val="008A3E10"/>
    <w:rsid w:val="008E272A"/>
    <w:rsid w:val="008E6704"/>
    <w:rsid w:val="008F141E"/>
    <w:rsid w:val="00905940"/>
    <w:rsid w:val="00912D45"/>
    <w:rsid w:val="00922611"/>
    <w:rsid w:val="0093759D"/>
    <w:rsid w:val="0094186D"/>
    <w:rsid w:val="00942BC7"/>
    <w:rsid w:val="00946516"/>
    <w:rsid w:val="009468B9"/>
    <w:rsid w:val="009541EF"/>
    <w:rsid w:val="009710B5"/>
    <w:rsid w:val="009753C8"/>
    <w:rsid w:val="00984DEE"/>
    <w:rsid w:val="00985BD0"/>
    <w:rsid w:val="00995B5B"/>
    <w:rsid w:val="009A1253"/>
    <w:rsid w:val="009B0E89"/>
    <w:rsid w:val="009C4D07"/>
    <w:rsid w:val="009C7EA8"/>
    <w:rsid w:val="009E3B26"/>
    <w:rsid w:val="009F4251"/>
    <w:rsid w:val="009F71DF"/>
    <w:rsid w:val="00A002CE"/>
    <w:rsid w:val="00A02A1B"/>
    <w:rsid w:val="00A072E2"/>
    <w:rsid w:val="00A115AF"/>
    <w:rsid w:val="00A1400D"/>
    <w:rsid w:val="00A20111"/>
    <w:rsid w:val="00A256B6"/>
    <w:rsid w:val="00A463FE"/>
    <w:rsid w:val="00A46532"/>
    <w:rsid w:val="00A47DA6"/>
    <w:rsid w:val="00A52876"/>
    <w:rsid w:val="00A60B32"/>
    <w:rsid w:val="00A6356E"/>
    <w:rsid w:val="00A718B4"/>
    <w:rsid w:val="00A90550"/>
    <w:rsid w:val="00A9076C"/>
    <w:rsid w:val="00A956CF"/>
    <w:rsid w:val="00A96206"/>
    <w:rsid w:val="00A97AE5"/>
    <w:rsid w:val="00AC1455"/>
    <w:rsid w:val="00AC2450"/>
    <w:rsid w:val="00AC621A"/>
    <w:rsid w:val="00AC795E"/>
    <w:rsid w:val="00AD2ACA"/>
    <w:rsid w:val="00AE16C4"/>
    <w:rsid w:val="00AF0D37"/>
    <w:rsid w:val="00AF3EF1"/>
    <w:rsid w:val="00B02F31"/>
    <w:rsid w:val="00B035A0"/>
    <w:rsid w:val="00B07BCC"/>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193"/>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623C"/>
    <w:rsid w:val="00D042BD"/>
    <w:rsid w:val="00D22B2C"/>
    <w:rsid w:val="00D276CC"/>
    <w:rsid w:val="00D34385"/>
    <w:rsid w:val="00D34F79"/>
    <w:rsid w:val="00D5264B"/>
    <w:rsid w:val="00D55E6C"/>
    <w:rsid w:val="00D561F1"/>
    <w:rsid w:val="00D57147"/>
    <w:rsid w:val="00D576F6"/>
    <w:rsid w:val="00D63103"/>
    <w:rsid w:val="00D71835"/>
    <w:rsid w:val="00D71F98"/>
    <w:rsid w:val="00D844FE"/>
    <w:rsid w:val="00D857B6"/>
    <w:rsid w:val="00D90CCF"/>
    <w:rsid w:val="00DB3D13"/>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5A0F"/>
    <w:rsid w:val="00F416C6"/>
    <w:rsid w:val="00F5367D"/>
    <w:rsid w:val="00F5778E"/>
    <w:rsid w:val="00F65F66"/>
    <w:rsid w:val="00F91962"/>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761879666">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411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0622-00EE-497E-8AFE-F3AB4F85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2</cp:revision>
  <cp:lastPrinted>2015-04-07T16:15:00Z</cp:lastPrinted>
  <dcterms:created xsi:type="dcterms:W3CDTF">2015-04-14T19:19:00Z</dcterms:created>
  <dcterms:modified xsi:type="dcterms:W3CDTF">2015-04-14T19:19:00Z</dcterms:modified>
</cp:coreProperties>
</file>